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1</w:t>
      </w:r>
    </w:p>
    <w:p>
      <w:r>
        <w:t>Bundesgericht (BGE), 1965-05-13, DE</w:t>
      </w:r>
    </w:p>
    <w:p>
      <w:r>
        <w:rPr>
          <w:b/>
        </w:rPr>
        <w:t xml:space="preserve">Quelle: </w:t>
      </w:r>
      <w:r>
        <w:t>https://mcp.opencaselaw.ch/entscheid/bge_91 II 1</w:t>
      </w:r>
    </w:p>
    <w:p>
      <w:r>
        <w:t>FR: ATF 91 II 1</w:t>
      </w:r>
    </w:p>
    <w:p>
      <w:r>
        <w:t>IT: DTF 91 II 1</w:t>
      </w:r>
    </w:p>
    <w:p>
      <w:pPr>
        <w:pStyle w:val="Heading2"/>
      </w:pPr>
      <w:r>
        <w:t>Regeste</w:t>
      </w:r>
    </w:p>
    <w:p>
      <w:r>
        <w:t>Regeste Vaterschaftsklage. Dem bundesrechtlichen Anspruch, es sei ein anthropologisch-erbbiologisches Gutachten anzuordnen, stehen einschränkende kantonale Prozessvorschriften entgegen. In vorliegender Sache hat der Beklagte den Beweisantrag erst vor zweiter Instanz - nach kantonalem Prozessrecht verspätet - eingereicht. Das Obergericht konnte aus diesem Grunde die Durchführung des Gutachtens ablehnen.</w:t>
      </w:r>
    </w:p>
    <w:p>
      <w:pPr>
        <w:pStyle w:val="Heading2"/>
      </w:pPr>
      <w:r>
        <w:t>Erwägungen</w:t>
      </w:r>
    </w:p>
    <w:p>
      <w:r>
        <w:rPr>
          <w:b/>
        </w:rPr>
        <w:t>E. 1</w:t>
      </w:r>
    </w:p>
    <w:p>
      <w:r>
        <w:t>In Vaterschaftssachen haben die Parteien - wie der Beklagte zutreffend ausführt - einen bundesrechtlichen Anspruch auf Anordnung eines anthropologisch-erbbiologischen Gutachtens. Ein solcher Beweisantrag ist jedoch nur abzunehmen, wenn ihm keine, von der Rechtsprechung näher umschriebene Schranken des Prozessrechtes oder des materiellen Rechtes entgegenstehen ( BGE 90 II 224 Erw. 4). In der hier umstrittenen Sache stützt das Obergericht die Ablehnung des vom Beklagten begehrten Beweismittels darauf, er habe es verspätet, erst in der Beweisverhandlung vor zweiter Instanz beantragt; mit andern Worten führt es aus, der Beklagte habe kantonalrechtliche Prozessvorschriften betreffend den Zeitpunkt des Beweisantrages nicht eingehalten. An die Entscheidung in dieser, ausschliesslich vom kantonalen Recht beherrschten Frage ist das Bundesgericht als Berufungsinstanz BGE 91 II 1 S. 3 gemäss Art. 43 Abs. 1 OG gebunden. Das Gutachten ist wegen verspäteter Einreichung des Beweisantrages im kantonalen Verfahren nicht einzuholen. Der Beklagte vermag auch nicht mit dem Einwand durchzudringen, das verlangte Gutachten sei anzuordnen, weil den zürcherischen Vaterschaftsprozess die Offizialmaxime beherrsche und ein Parteiantrag gar nicht erforderlich sei. Die Tragweite der Offizialmaxime betrifft wie die Frage der Verspätung einzig kantonales Recht, dessen Anwendung vom Bundesgericht nicht zu überprüfen ist (vgl. BGE 78 II 97 f.).</w:t>
      </w:r>
    </w:p>
    <w:p>
      <w:r>
        <w:rPr>
          <w:b/>
        </w:rPr>
        <w:t>E. 2</w:t>
      </w:r>
    </w:p>
    <w:p>
      <w:r>
        <w:t>Mehrverkehr der Mutter oder andere Tatsachen, die erhebliche Zweifel an der Vaterschaft des Beklagten rechtfertigten, sind nach den verbindlichen tatsächlichen Feststellungen der Vorinstanz nicht nachgewiesen. Von einem nachgewiesenen unzüchtigen Lebenswandel der Mutter kann keine Rede sein. Den Beklagten, welcher der Kindsmutter in der kritischen Zeit beigewohnt hat, trifft die Vermutung der Vaterschaft. Er ist von der Vorinstanz zu Recht zu Vermögensleistungen verurteilt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